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E9" w:rsidRPr="005E3F42" w:rsidRDefault="005E3F42" w:rsidP="00F935A6">
      <w:pPr>
        <w:rPr>
          <w:rFonts w:ascii="Century Gothic" w:hAnsi="Century Gothic"/>
          <w:b/>
          <w:sz w:val="32"/>
          <w:szCs w:val="32"/>
        </w:rPr>
      </w:pPr>
      <w:r w:rsidRPr="005E3F42">
        <w:rPr>
          <w:rFonts w:ascii="Century Gothic" w:hAnsi="Century Gothic"/>
          <w:b/>
          <w:sz w:val="32"/>
          <w:szCs w:val="32"/>
        </w:rPr>
        <w:t>Clergy Residence Deduction</w:t>
      </w:r>
    </w:p>
    <w:p w:rsidR="005E3F42" w:rsidRPr="002577BC" w:rsidRDefault="002577BC" w:rsidP="002577BC">
      <w:pPr>
        <w:spacing w:line="276" w:lineRule="auto"/>
        <w:rPr>
          <w:rFonts w:ascii="Century Gothic" w:hAnsi="Century Gothic"/>
          <w:b/>
          <w:sz w:val="24"/>
          <w:szCs w:val="24"/>
        </w:rPr>
      </w:pPr>
      <w:r w:rsidRPr="002577BC">
        <w:rPr>
          <w:rFonts w:ascii="Century Gothic" w:hAnsi="Century Gothic"/>
          <w:b/>
          <w:sz w:val="24"/>
          <w:szCs w:val="24"/>
        </w:rPr>
        <w:t>Qualification</w:t>
      </w:r>
    </w:p>
    <w:p w:rsidR="002577BC" w:rsidRDefault="002577BC" w:rsidP="00F935A6">
      <w:pPr>
        <w:spacing w:line="360" w:lineRule="auto"/>
        <w:rPr>
          <w:rFonts w:ascii="Century Gothic" w:hAnsi="Century Gothic"/>
        </w:rPr>
      </w:pPr>
      <w:r>
        <w:rPr>
          <w:rFonts w:ascii="Century Gothic" w:hAnsi="Century Gothic"/>
        </w:rPr>
        <w:t>The Income Tax Act (ITA) allows for qualifying persons to claim a clergy residence deduction when filing their annual tax returns.</w:t>
      </w:r>
    </w:p>
    <w:p w:rsidR="002577BC" w:rsidRPr="002577BC" w:rsidRDefault="002577BC" w:rsidP="00F935A6">
      <w:pPr>
        <w:spacing w:line="360" w:lineRule="auto"/>
        <w:ind w:left="720"/>
        <w:rPr>
          <w:rFonts w:ascii="Century Gothic" w:hAnsi="Century Gothic"/>
          <w:b/>
        </w:rPr>
      </w:pPr>
      <w:r w:rsidRPr="002577BC">
        <w:rPr>
          <w:rFonts w:ascii="Century Gothic" w:hAnsi="Century Gothic"/>
          <w:b/>
        </w:rPr>
        <w:t>To qualify a person must meet a two-part test.</w:t>
      </w:r>
    </w:p>
    <w:p w:rsidR="002577BC" w:rsidRDefault="002577BC" w:rsidP="00F935A6">
      <w:pPr>
        <w:spacing w:line="360" w:lineRule="auto"/>
        <w:ind w:left="720"/>
        <w:rPr>
          <w:rFonts w:ascii="Century Gothic" w:hAnsi="Century Gothic"/>
        </w:rPr>
      </w:pPr>
      <w:r>
        <w:rPr>
          <w:rFonts w:ascii="Century Gothic" w:hAnsi="Century Gothic"/>
        </w:rPr>
        <w:t xml:space="preserve">The first part is the </w:t>
      </w:r>
      <w:r>
        <w:rPr>
          <w:rFonts w:ascii="Century Gothic" w:hAnsi="Century Gothic"/>
          <w:u w:val="single"/>
        </w:rPr>
        <w:t>status test</w:t>
      </w:r>
      <w:r>
        <w:rPr>
          <w:rFonts w:ascii="Century Gothic" w:hAnsi="Century Gothic"/>
        </w:rPr>
        <w:t xml:space="preserve"> – The person must be a member of the clergy.  This means they must have credentials with PAOC.</w:t>
      </w:r>
    </w:p>
    <w:p w:rsidR="002577BC" w:rsidRDefault="002577BC" w:rsidP="00F935A6">
      <w:pPr>
        <w:spacing w:line="360" w:lineRule="auto"/>
        <w:ind w:left="720"/>
        <w:rPr>
          <w:rFonts w:ascii="Century Gothic" w:hAnsi="Century Gothic"/>
        </w:rPr>
      </w:pPr>
      <w:r>
        <w:rPr>
          <w:rFonts w:ascii="Century Gothic" w:hAnsi="Century Gothic"/>
        </w:rPr>
        <w:t xml:space="preserve">The second part is the </w:t>
      </w:r>
      <w:r>
        <w:rPr>
          <w:rFonts w:ascii="Century Gothic" w:hAnsi="Century Gothic"/>
          <w:u w:val="single"/>
        </w:rPr>
        <w:t>function-test</w:t>
      </w:r>
      <w:r>
        <w:rPr>
          <w:rFonts w:ascii="Century Gothic" w:hAnsi="Century Gothic"/>
        </w:rPr>
        <w:t xml:space="preserve"> – The person must be in charge of and/or ministering to a diocese, parish, or congregation, or be in a full-time administrative position by appointment of the church denomination.</w:t>
      </w:r>
    </w:p>
    <w:p w:rsidR="002577BC" w:rsidRDefault="002577BC" w:rsidP="00F935A6">
      <w:pPr>
        <w:spacing w:line="360" w:lineRule="auto"/>
        <w:rPr>
          <w:rFonts w:ascii="Century Gothic" w:hAnsi="Century Gothic"/>
          <w:b/>
          <w:sz w:val="24"/>
          <w:szCs w:val="24"/>
        </w:rPr>
      </w:pPr>
      <w:r w:rsidRPr="002577BC">
        <w:rPr>
          <w:rFonts w:ascii="Century Gothic" w:hAnsi="Century Gothic"/>
          <w:b/>
          <w:sz w:val="24"/>
          <w:szCs w:val="24"/>
        </w:rPr>
        <w:t>Payment of Housing Costs</w:t>
      </w:r>
    </w:p>
    <w:p w:rsidR="002577BC" w:rsidRPr="002577BC" w:rsidRDefault="002577BC" w:rsidP="00F935A6">
      <w:pPr>
        <w:spacing w:line="360" w:lineRule="auto"/>
        <w:ind w:left="720"/>
        <w:rPr>
          <w:rFonts w:ascii="Century Gothic" w:hAnsi="Century Gothic"/>
          <w:b/>
        </w:rPr>
      </w:pPr>
      <w:r w:rsidRPr="002577BC">
        <w:rPr>
          <w:rFonts w:ascii="Century Gothic" w:hAnsi="Century Gothic"/>
          <w:b/>
        </w:rPr>
        <w:t>There are two scenarios to consider…</w:t>
      </w:r>
    </w:p>
    <w:p w:rsidR="002577BC" w:rsidRDefault="002577BC" w:rsidP="00F935A6">
      <w:pPr>
        <w:spacing w:line="360" w:lineRule="auto"/>
        <w:ind w:left="720"/>
        <w:rPr>
          <w:rFonts w:ascii="Century Gothic" w:hAnsi="Century Gothic"/>
        </w:rPr>
      </w:pPr>
      <w:r>
        <w:rPr>
          <w:rFonts w:ascii="Century Gothic" w:hAnsi="Century Gothic"/>
        </w:rPr>
        <w:t xml:space="preserve">The </w:t>
      </w:r>
      <w:r w:rsidRPr="002577BC">
        <w:rPr>
          <w:rFonts w:ascii="Century Gothic" w:hAnsi="Century Gothic"/>
          <w:u w:val="single"/>
        </w:rPr>
        <w:t>first case</w:t>
      </w:r>
      <w:r>
        <w:rPr>
          <w:rFonts w:ascii="Century Gothic" w:hAnsi="Century Gothic"/>
        </w:rPr>
        <w:t xml:space="preserve"> is when the employer provides the housing.</w:t>
      </w:r>
      <w:r w:rsidR="00F85EC9">
        <w:rPr>
          <w:rFonts w:ascii="Century Gothic" w:hAnsi="Century Gothic"/>
        </w:rPr>
        <w:t xml:space="preserve">  </w:t>
      </w:r>
      <w:r>
        <w:rPr>
          <w:rFonts w:ascii="Century Gothic" w:hAnsi="Century Gothic"/>
        </w:rPr>
        <w:t>The housing cost is in addition to normal salary payments.</w:t>
      </w:r>
    </w:p>
    <w:p w:rsidR="002577BC" w:rsidRDefault="002577BC" w:rsidP="00F935A6">
      <w:pPr>
        <w:spacing w:line="360" w:lineRule="auto"/>
        <w:ind w:left="720"/>
        <w:rPr>
          <w:rFonts w:ascii="Century Gothic" w:hAnsi="Century Gothic"/>
        </w:rPr>
      </w:pPr>
      <w:r>
        <w:rPr>
          <w:rFonts w:ascii="Century Gothic" w:hAnsi="Century Gothic"/>
        </w:rPr>
        <w:t xml:space="preserve">The </w:t>
      </w:r>
      <w:r>
        <w:rPr>
          <w:rFonts w:ascii="Century Gothic" w:hAnsi="Century Gothic"/>
          <w:u w:val="single"/>
        </w:rPr>
        <w:t>s</w:t>
      </w:r>
      <w:r w:rsidRPr="002577BC">
        <w:rPr>
          <w:rFonts w:ascii="Century Gothic" w:hAnsi="Century Gothic"/>
          <w:u w:val="single"/>
        </w:rPr>
        <w:t>econd case</w:t>
      </w:r>
      <w:r>
        <w:rPr>
          <w:rFonts w:ascii="Century Gothic" w:hAnsi="Century Gothic"/>
        </w:rPr>
        <w:t xml:space="preserve"> is when the employee owns or rents their housing and pays for it out of their normal salary payments.  In this case there is no provision for, or payments, from the employer for housing.</w:t>
      </w:r>
    </w:p>
    <w:p w:rsidR="002577BC" w:rsidRPr="00F85EC9" w:rsidRDefault="002577BC" w:rsidP="00F935A6">
      <w:pPr>
        <w:spacing w:line="360" w:lineRule="auto"/>
        <w:rPr>
          <w:rFonts w:ascii="Century Gothic" w:hAnsi="Century Gothic"/>
          <w:b/>
          <w:sz w:val="24"/>
          <w:szCs w:val="24"/>
        </w:rPr>
      </w:pPr>
      <w:r w:rsidRPr="00F85EC9">
        <w:rPr>
          <w:rFonts w:ascii="Century Gothic" w:hAnsi="Century Gothic"/>
          <w:b/>
          <w:sz w:val="24"/>
          <w:szCs w:val="24"/>
        </w:rPr>
        <w:t>First Case – Housing Provided</w:t>
      </w:r>
    </w:p>
    <w:p w:rsidR="002577BC" w:rsidRDefault="002577BC" w:rsidP="00F935A6">
      <w:pPr>
        <w:spacing w:line="360" w:lineRule="auto"/>
        <w:ind w:left="720"/>
        <w:rPr>
          <w:rFonts w:ascii="Century Gothic" w:hAnsi="Century Gothic"/>
        </w:rPr>
      </w:pPr>
      <w:r>
        <w:rPr>
          <w:rFonts w:ascii="Century Gothic" w:hAnsi="Century Gothic"/>
        </w:rPr>
        <w:t>Box 30 on the T4 will be filled in.  (This amount is also added to Box 14)</w:t>
      </w:r>
    </w:p>
    <w:p w:rsidR="002577BC" w:rsidRDefault="002577BC" w:rsidP="00F935A6">
      <w:pPr>
        <w:spacing w:line="360" w:lineRule="auto"/>
        <w:ind w:left="720"/>
        <w:rPr>
          <w:rFonts w:ascii="Century Gothic" w:hAnsi="Century Gothic"/>
        </w:rPr>
      </w:pPr>
      <w:r>
        <w:rPr>
          <w:rFonts w:ascii="Century Gothic" w:hAnsi="Century Gothic"/>
        </w:rPr>
        <w:t>The amount in Box 30 must reflect the actual rent &amp; utilities cost for housing.</w:t>
      </w:r>
    </w:p>
    <w:p w:rsidR="002577BC" w:rsidRPr="00F85EC9" w:rsidRDefault="002577BC" w:rsidP="00F935A6">
      <w:pPr>
        <w:spacing w:line="360" w:lineRule="auto"/>
        <w:ind w:left="720"/>
        <w:rPr>
          <w:rFonts w:ascii="Century Gothic" w:hAnsi="Century Gothic"/>
          <w:b/>
        </w:rPr>
      </w:pPr>
      <w:r w:rsidRPr="00F85EC9">
        <w:rPr>
          <w:rFonts w:ascii="Century Gothic" w:hAnsi="Century Gothic"/>
          <w:b/>
        </w:rPr>
        <w:t>Form T1223 – Clergy Residence Deduction</w:t>
      </w:r>
      <w:r w:rsidR="00F85EC9">
        <w:rPr>
          <w:rFonts w:ascii="Century Gothic" w:hAnsi="Century Gothic"/>
          <w:b/>
        </w:rPr>
        <w:t>:</w:t>
      </w:r>
    </w:p>
    <w:p w:rsidR="002577BC" w:rsidRDefault="002577BC" w:rsidP="00F935A6">
      <w:pPr>
        <w:spacing w:line="360" w:lineRule="auto"/>
        <w:ind w:left="720"/>
        <w:rPr>
          <w:rFonts w:ascii="Century Gothic" w:hAnsi="Century Gothic"/>
        </w:rPr>
      </w:pPr>
      <w:r>
        <w:rPr>
          <w:rFonts w:ascii="Century Gothic" w:hAnsi="Century Gothic"/>
        </w:rPr>
        <w:t>Part C, sub-part (A) applies:  “If you received free accommodation for your residence, the value of which was shown in Box 30 of your T4 slip as a taxable benefit, claim this amount on line 231 of your return.”</w:t>
      </w:r>
    </w:p>
    <w:p w:rsidR="00F935A6" w:rsidRDefault="00F935A6" w:rsidP="00F935A6">
      <w:pPr>
        <w:spacing w:line="360" w:lineRule="auto"/>
        <w:rPr>
          <w:rFonts w:ascii="Century Gothic" w:hAnsi="Century Gothic"/>
          <w:b/>
          <w:sz w:val="24"/>
          <w:szCs w:val="24"/>
        </w:rPr>
      </w:pPr>
    </w:p>
    <w:p w:rsidR="002577BC" w:rsidRPr="00F85EC9" w:rsidRDefault="00F85EC9" w:rsidP="00F935A6">
      <w:pPr>
        <w:spacing w:line="360" w:lineRule="auto"/>
        <w:rPr>
          <w:rFonts w:ascii="Century Gothic" w:hAnsi="Century Gothic"/>
          <w:b/>
          <w:sz w:val="24"/>
          <w:szCs w:val="24"/>
        </w:rPr>
      </w:pPr>
      <w:r w:rsidRPr="00F85EC9">
        <w:rPr>
          <w:rFonts w:ascii="Century Gothic" w:hAnsi="Century Gothic"/>
          <w:b/>
          <w:sz w:val="24"/>
          <w:szCs w:val="24"/>
        </w:rPr>
        <w:lastRenderedPageBreak/>
        <w:t>Second Case – Housing Not Provided</w:t>
      </w:r>
    </w:p>
    <w:p w:rsidR="00F85EC9" w:rsidRDefault="00F85EC9" w:rsidP="00F935A6">
      <w:pPr>
        <w:spacing w:line="360" w:lineRule="auto"/>
        <w:ind w:left="720"/>
        <w:rPr>
          <w:rFonts w:ascii="Century Gothic" w:hAnsi="Century Gothic"/>
        </w:rPr>
      </w:pPr>
      <w:r>
        <w:rPr>
          <w:rFonts w:ascii="Century Gothic" w:hAnsi="Century Gothic"/>
        </w:rPr>
        <w:t>In this case any amounts for rent &amp; utilities must be added to salary and therefore paid as normal salary to the employee.</w:t>
      </w:r>
    </w:p>
    <w:p w:rsidR="00F85EC9" w:rsidRDefault="00F85EC9" w:rsidP="00F935A6">
      <w:pPr>
        <w:spacing w:line="360" w:lineRule="auto"/>
        <w:ind w:left="720"/>
        <w:rPr>
          <w:rFonts w:ascii="Century Gothic" w:hAnsi="Century Gothic"/>
        </w:rPr>
      </w:pPr>
      <w:r>
        <w:rPr>
          <w:rFonts w:ascii="Century Gothic" w:hAnsi="Century Gothic"/>
        </w:rPr>
        <w:t>Box 30 on the T4 is left blank as no taxable benefit is provided because the employee pays for housing out of their normal salary payments.</w:t>
      </w:r>
    </w:p>
    <w:p w:rsidR="00F85EC9" w:rsidRPr="00F85EC9" w:rsidRDefault="00F85EC9" w:rsidP="00F935A6">
      <w:pPr>
        <w:spacing w:line="360" w:lineRule="auto"/>
        <w:ind w:left="720"/>
        <w:rPr>
          <w:rFonts w:ascii="Century Gothic" w:hAnsi="Century Gothic"/>
          <w:b/>
        </w:rPr>
      </w:pPr>
      <w:r w:rsidRPr="00F85EC9">
        <w:rPr>
          <w:rFonts w:ascii="Century Gothic" w:hAnsi="Century Gothic"/>
          <w:b/>
        </w:rPr>
        <w:t>Form T1223 – Clergy Residence Deduction</w:t>
      </w:r>
    </w:p>
    <w:p w:rsidR="00F85EC9" w:rsidRDefault="00F85EC9" w:rsidP="00F935A6">
      <w:pPr>
        <w:spacing w:line="360" w:lineRule="auto"/>
        <w:ind w:left="720"/>
        <w:rPr>
          <w:rFonts w:ascii="Century Gothic" w:hAnsi="Century Gothic"/>
        </w:rPr>
      </w:pPr>
      <w:r>
        <w:rPr>
          <w:rFonts w:ascii="Century Gothic" w:hAnsi="Century Gothic"/>
        </w:rPr>
        <w:t>Part C, sub-part (B) applies:  This part assumes Box 30 of the T4 is blank, if you owned or rented your residence being claimed you need to determine the amount to claim on line 231 of the tax return.  You can use the form or follow the guideline on the next page, Tax Filing B: paragraph.</w:t>
      </w:r>
    </w:p>
    <w:p w:rsidR="00F85EC9" w:rsidRPr="00F85EC9" w:rsidRDefault="00F85EC9" w:rsidP="00F935A6">
      <w:pPr>
        <w:spacing w:line="360" w:lineRule="auto"/>
        <w:ind w:left="720"/>
        <w:rPr>
          <w:rFonts w:ascii="Century Gothic" w:hAnsi="Century Gothic"/>
          <w:b/>
        </w:rPr>
      </w:pPr>
      <w:r w:rsidRPr="00F85EC9">
        <w:rPr>
          <w:rFonts w:ascii="Century Gothic" w:hAnsi="Century Gothic"/>
          <w:b/>
        </w:rPr>
        <w:t>Form T1213 – Request to Reduce Tax Deductions at Source for Year(s)</w:t>
      </w:r>
    </w:p>
    <w:p w:rsidR="00F85EC9" w:rsidRDefault="00F85EC9" w:rsidP="00F935A6">
      <w:pPr>
        <w:spacing w:line="360" w:lineRule="auto"/>
        <w:ind w:left="720"/>
        <w:rPr>
          <w:rFonts w:ascii="Century Gothic" w:hAnsi="Century Gothic"/>
        </w:rPr>
      </w:pPr>
      <w:r>
        <w:rPr>
          <w:rFonts w:ascii="Century Gothic" w:hAnsi="Century Gothic"/>
        </w:rPr>
        <w:t>The employee may request Canada Revenue Agency (CRA) to reduce tax deductions when pay is calculated for the amount of the clergy residence deduction to be claimed.  A letter of authority from CRA must be given to the employer before tax on pay calculations can be reduced.</w:t>
      </w:r>
    </w:p>
    <w:p w:rsidR="00F935A6" w:rsidRDefault="00F935A6" w:rsidP="00F935A6">
      <w:pPr>
        <w:spacing w:line="360" w:lineRule="auto"/>
        <w:rPr>
          <w:rFonts w:ascii="Century Gothic" w:hAnsi="Century Gothic"/>
          <w:b/>
          <w:sz w:val="24"/>
          <w:szCs w:val="24"/>
        </w:rPr>
      </w:pPr>
    </w:p>
    <w:p w:rsidR="00C625A9" w:rsidRDefault="00C625A9">
      <w:pPr>
        <w:rPr>
          <w:rFonts w:ascii="Century Gothic" w:hAnsi="Century Gothic"/>
          <w:b/>
          <w:sz w:val="32"/>
          <w:szCs w:val="32"/>
        </w:rPr>
      </w:pPr>
      <w:r>
        <w:rPr>
          <w:rFonts w:ascii="Century Gothic" w:hAnsi="Century Gothic"/>
          <w:b/>
          <w:sz w:val="32"/>
          <w:szCs w:val="32"/>
        </w:rPr>
        <w:br w:type="page"/>
      </w:r>
    </w:p>
    <w:p w:rsidR="00F85EC9" w:rsidRPr="00F935A6" w:rsidRDefault="00F85EC9" w:rsidP="00F935A6">
      <w:pPr>
        <w:spacing w:line="360" w:lineRule="auto"/>
        <w:rPr>
          <w:rFonts w:ascii="Century Gothic" w:hAnsi="Century Gothic"/>
          <w:b/>
          <w:sz w:val="32"/>
          <w:szCs w:val="32"/>
        </w:rPr>
      </w:pPr>
      <w:r w:rsidRPr="00F935A6">
        <w:rPr>
          <w:rFonts w:ascii="Century Gothic" w:hAnsi="Century Gothic"/>
          <w:b/>
          <w:sz w:val="32"/>
          <w:szCs w:val="32"/>
        </w:rPr>
        <w:lastRenderedPageBreak/>
        <w:t>CANADA REVENUE AGENCY AND PAYROLL</w:t>
      </w:r>
    </w:p>
    <w:p w:rsidR="00F85EC9" w:rsidRPr="00E3614E" w:rsidRDefault="00F85EC9" w:rsidP="00C625A9">
      <w:pPr>
        <w:spacing w:line="360" w:lineRule="auto"/>
        <w:rPr>
          <w:rFonts w:ascii="Century Gothic" w:hAnsi="Century Gothic"/>
          <w:b/>
        </w:rPr>
      </w:pPr>
      <w:r w:rsidRPr="00E3614E">
        <w:rPr>
          <w:rFonts w:ascii="Century Gothic" w:hAnsi="Century Gothic"/>
          <w:b/>
        </w:rPr>
        <w:t>Payroll Deductions</w:t>
      </w:r>
    </w:p>
    <w:p w:rsidR="00F85EC9" w:rsidRDefault="00F85EC9" w:rsidP="00F935A6">
      <w:pPr>
        <w:spacing w:line="360" w:lineRule="auto"/>
        <w:ind w:left="720"/>
        <w:rPr>
          <w:rFonts w:ascii="Century Gothic" w:hAnsi="Century Gothic"/>
        </w:rPr>
      </w:pPr>
      <w:r>
        <w:rPr>
          <w:rFonts w:ascii="Century Gothic" w:hAnsi="Century Gothic"/>
        </w:rPr>
        <w:t>All employees are subject to statutory deductions, namely:  Tax, Canada Pension Plan, and Employment Insurance.</w:t>
      </w:r>
    </w:p>
    <w:p w:rsidR="00F85EC9" w:rsidRDefault="00F85EC9" w:rsidP="00F935A6">
      <w:pPr>
        <w:spacing w:line="360" w:lineRule="auto"/>
        <w:ind w:left="720"/>
        <w:rPr>
          <w:rFonts w:ascii="Century Gothic" w:hAnsi="Century Gothic"/>
        </w:rPr>
      </w:pPr>
      <w:r w:rsidRPr="00E3614E">
        <w:rPr>
          <w:rFonts w:ascii="Century Gothic" w:hAnsi="Century Gothic"/>
          <w:b/>
        </w:rPr>
        <w:t>Tax</w:t>
      </w:r>
      <w:r>
        <w:rPr>
          <w:rFonts w:ascii="Century Gothic" w:hAnsi="Century Gothic"/>
        </w:rPr>
        <w:t xml:space="preserve"> – Will not be deducted on amounts for the residence of the clergy member where housing is provided by the employer.  Where housing is not provided by the employer tax deductions will only be reduced after the letter of authorization is received from CRA.</w:t>
      </w:r>
    </w:p>
    <w:p w:rsidR="00F85EC9" w:rsidRDefault="00F85EC9" w:rsidP="00F935A6">
      <w:pPr>
        <w:spacing w:line="360" w:lineRule="auto"/>
        <w:ind w:left="720"/>
        <w:rPr>
          <w:rFonts w:ascii="Century Gothic" w:hAnsi="Century Gothic"/>
        </w:rPr>
      </w:pPr>
      <w:r w:rsidRPr="00E3614E">
        <w:rPr>
          <w:rFonts w:ascii="Century Gothic" w:hAnsi="Century Gothic"/>
          <w:b/>
        </w:rPr>
        <w:t>Canada Pension Plan (CPP)</w:t>
      </w:r>
      <w:r>
        <w:rPr>
          <w:rFonts w:ascii="Century Gothic" w:hAnsi="Century Gothic"/>
        </w:rPr>
        <w:t xml:space="preserve"> – Will not be deducted on amounts for the residence of a clergy member if the employee receives a tax deduction for the residence.</w:t>
      </w:r>
    </w:p>
    <w:p w:rsidR="00F85EC9" w:rsidRDefault="00F85EC9" w:rsidP="00F935A6">
      <w:pPr>
        <w:spacing w:line="360" w:lineRule="auto"/>
        <w:ind w:left="720"/>
        <w:rPr>
          <w:rFonts w:ascii="Century Gothic" w:hAnsi="Century Gothic"/>
        </w:rPr>
      </w:pPr>
      <w:r w:rsidRPr="00E3614E">
        <w:rPr>
          <w:rFonts w:ascii="Century Gothic" w:hAnsi="Century Gothic"/>
          <w:b/>
        </w:rPr>
        <w:t>Employment Insurance (EI)</w:t>
      </w:r>
      <w:r>
        <w:rPr>
          <w:rFonts w:ascii="Century Gothic" w:hAnsi="Century Gothic"/>
        </w:rPr>
        <w:t xml:space="preserve"> – Will </w:t>
      </w:r>
      <w:r w:rsidR="00E3614E">
        <w:rPr>
          <w:rFonts w:ascii="Century Gothic" w:hAnsi="Century Gothic"/>
        </w:rPr>
        <w:t>be deducted</w:t>
      </w:r>
      <w:r>
        <w:rPr>
          <w:rFonts w:ascii="Century Gothic" w:hAnsi="Century Gothic"/>
        </w:rPr>
        <w:t>.</w:t>
      </w:r>
    </w:p>
    <w:p w:rsidR="00F85EC9" w:rsidRDefault="00F85EC9" w:rsidP="00F935A6">
      <w:pPr>
        <w:spacing w:line="360" w:lineRule="auto"/>
        <w:rPr>
          <w:rFonts w:ascii="Century Gothic" w:hAnsi="Century Gothic"/>
        </w:rPr>
      </w:pPr>
    </w:p>
    <w:p w:rsidR="00F85EC9" w:rsidRPr="00E3614E" w:rsidRDefault="00E3614E" w:rsidP="00F935A6">
      <w:pPr>
        <w:spacing w:line="360" w:lineRule="auto"/>
        <w:rPr>
          <w:rFonts w:ascii="Century Gothic" w:hAnsi="Century Gothic"/>
          <w:b/>
          <w:sz w:val="24"/>
          <w:szCs w:val="24"/>
        </w:rPr>
      </w:pPr>
      <w:r w:rsidRPr="00E3614E">
        <w:rPr>
          <w:rFonts w:ascii="Century Gothic" w:hAnsi="Century Gothic"/>
          <w:b/>
          <w:sz w:val="24"/>
          <w:szCs w:val="24"/>
        </w:rPr>
        <w:t>Tax Filing</w:t>
      </w:r>
    </w:p>
    <w:p w:rsidR="00E3614E" w:rsidRDefault="00E3614E" w:rsidP="00F935A6">
      <w:pPr>
        <w:pStyle w:val="ListParagraph"/>
        <w:numPr>
          <w:ilvl w:val="0"/>
          <w:numId w:val="1"/>
        </w:numPr>
        <w:spacing w:line="360" w:lineRule="auto"/>
        <w:ind w:left="1080"/>
        <w:rPr>
          <w:rFonts w:ascii="Century Gothic" w:hAnsi="Century Gothic"/>
        </w:rPr>
      </w:pPr>
      <w:r>
        <w:rPr>
          <w:rFonts w:ascii="Century Gothic" w:hAnsi="Century Gothic"/>
        </w:rPr>
        <w:t>Box 30 on the T4 requires the following for filing the Tax Return:</w:t>
      </w:r>
    </w:p>
    <w:p w:rsidR="00E3614E" w:rsidRDefault="00E3614E" w:rsidP="00F935A6">
      <w:pPr>
        <w:pStyle w:val="ListParagraph"/>
        <w:spacing w:line="360" w:lineRule="auto"/>
        <w:ind w:left="1440"/>
        <w:rPr>
          <w:rFonts w:ascii="Century Gothic" w:hAnsi="Century Gothic"/>
        </w:rPr>
      </w:pPr>
      <w:r w:rsidRPr="00B24D27">
        <w:rPr>
          <w:rFonts w:ascii="Century Gothic" w:hAnsi="Century Gothic"/>
          <w:b/>
        </w:rPr>
        <w:t>Line 101</w:t>
      </w:r>
      <w:r>
        <w:rPr>
          <w:rFonts w:ascii="Century Gothic" w:hAnsi="Century Gothic"/>
        </w:rPr>
        <w:t xml:space="preserve"> (Employment Income) – Enter the amount in Box 14 on the T4(s) less the amount in Box 30.</w:t>
      </w:r>
    </w:p>
    <w:p w:rsidR="00E3614E" w:rsidRDefault="00E3614E" w:rsidP="00F935A6">
      <w:pPr>
        <w:pStyle w:val="ListParagraph"/>
        <w:spacing w:line="360" w:lineRule="auto"/>
        <w:ind w:left="1440"/>
        <w:rPr>
          <w:rFonts w:ascii="Century Gothic" w:hAnsi="Century Gothic"/>
        </w:rPr>
      </w:pPr>
      <w:r w:rsidRPr="00B24D27">
        <w:rPr>
          <w:rFonts w:ascii="Century Gothic" w:hAnsi="Century Gothic"/>
          <w:b/>
        </w:rPr>
        <w:t>Line 104</w:t>
      </w:r>
      <w:r>
        <w:rPr>
          <w:rFonts w:ascii="Century Gothic" w:hAnsi="Century Gothic"/>
        </w:rPr>
        <w:t xml:space="preserve"> (Other Employment Income) – Enter the amount in Box 30 on the T4(s).</w:t>
      </w:r>
    </w:p>
    <w:p w:rsidR="00E3614E" w:rsidRDefault="00E3614E" w:rsidP="00F935A6">
      <w:pPr>
        <w:pStyle w:val="ListParagraph"/>
        <w:spacing w:line="360" w:lineRule="auto"/>
        <w:ind w:left="1440"/>
        <w:rPr>
          <w:rFonts w:ascii="Century Gothic" w:hAnsi="Century Gothic"/>
        </w:rPr>
      </w:pPr>
      <w:r w:rsidRPr="00B24D27">
        <w:rPr>
          <w:rFonts w:ascii="Century Gothic" w:hAnsi="Century Gothic"/>
          <w:b/>
        </w:rPr>
        <w:t>Line 231</w:t>
      </w:r>
      <w:r>
        <w:rPr>
          <w:rFonts w:ascii="Century Gothic" w:hAnsi="Century Gothic"/>
        </w:rPr>
        <w:t xml:space="preserve"> (Clergy Residence Deduction) – Enter the amount in Box 30 on the T4(s).</w:t>
      </w:r>
    </w:p>
    <w:p w:rsidR="00B24D27" w:rsidRDefault="00B24D27" w:rsidP="00F935A6">
      <w:pPr>
        <w:pStyle w:val="ListParagraph"/>
        <w:spacing w:line="360" w:lineRule="auto"/>
        <w:ind w:left="1080"/>
        <w:rPr>
          <w:rFonts w:ascii="Century Gothic" w:hAnsi="Century Gothic"/>
        </w:rPr>
      </w:pPr>
    </w:p>
    <w:p w:rsidR="00B24D27" w:rsidRPr="00B24D27" w:rsidRDefault="00E3614E" w:rsidP="00F935A6">
      <w:pPr>
        <w:pStyle w:val="ListParagraph"/>
        <w:numPr>
          <w:ilvl w:val="0"/>
          <w:numId w:val="1"/>
        </w:numPr>
        <w:spacing w:before="240" w:line="360" w:lineRule="auto"/>
        <w:ind w:left="1080"/>
        <w:rPr>
          <w:rFonts w:ascii="Century Gothic" w:hAnsi="Century Gothic"/>
        </w:rPr>
      </w:pPr>
      <w:r>
        <w:rPr>
          <w:rFonts w:ascii="Century Gothic" w:hAnsi="Century Gothic"/>
        </w:rPr>
        <w:t>If Box 30 is not filled-in on the T4 &amp; you want to claim a Clergy Residence Deduction:</w:t>
      </w:r>
    </w:p>
    <w:p w:rsidR="00E3614E" w:rsidRDefault="00E3614E" w:rsidP="00F935A6">
      <w:pPr>
        <w:pStyle w:val="ListParagraph"/>
        <w:spacing w:line="360" w:lineRule="auto"/>
        <w:ind w:left="1440"/>
        <w:rPr>
          <w:rFonts w:ascii="Century Gothic" w:hAnsi="Century Gothic"/>
        </w:rPr>
      </w:pPr>
      <w:r>
        <w:rPr>
          <w:rFonts w:ascii="Century Gothic" w:hAnsi="Century Gothic"/>
        </w:rPr>
        <w:t>1:  Make sure you meet both the Status and Function test to qualify.</w:t>
      </w:r>
    </w:p>
    <w:p w:rsidR="00E3614E" w:rsidRDefault="00E3614E" w:rsidP="00F935A6">
      <w:pPr>
        <w:pStyle w:val="ListParagraph"/>
        <w:spacing w:line="360" w:lineRule="auto"/>
        <w:ind w:left="1440"/>
        <w:rPr>
          <w:rFonts w:ascii="Century Gothic" w:hAnsi="Century Gothic"/>
        </w:rPr>
      </w:pPr>
      <w:r>
        <w:rPr>
          <w:rFonts w:ascii="Century Gothic" w:hAnsi="Century Gothic"/>
        </w:rPr>
        <w:t>2.  The amount cannot be more than the lesser of A: or B:</w:t>
      </w:r>
    </w:p>
    <w:p w:rsidR="00E3614E" w:rsidRDefault="00B24D27" w:rsidP="00F935A6">
      <w:pPr>
        <w:pStyle w:val="ListParagraph"/>
        <w:spacing w:line="360" w:lineRule="auto"/>
        <w:ind w:left="1440" w:firstLine="720"/>
        <w:rPr>
          <w:rFonts w:ascii="Century Gothic" w:hAnsi="Century Gothic"/>
        </w:rPr>
      </w:pPr>
      <w:r>
        <w:rPr>
          <w:rFonts w:ascii="Century Gothic" w:hAnsi="Century Gothic"/>
        </w:rPr>
        <w:t xml:space="preserve">A:  </w:t>
      </w:r>
      <w:r w:rsidR="00E3614E">
        <w:rPr>
          <w:rFonts w:ascii="Century Gothic" w:hAnsi="Century Gothic"/>
        </w:rPr>
        <w:t>The first amount is the greater of:</w:t>
      </w:r>
    </w:p>
    <w:p w:rsidR="00E3614E" w:rsidRDefault="00E3614E" w:rsidP="00F935A6">
      <w:pPr>
        <w:pStyle w:val="ListParagraph"/>
        <w:numPr>
          <w:ilvl w:val="0"/>
          <w:numId w:val="2"/>
        </w:numPr>
        <w:spacing w:line="360" w:lineRule="auto"/>
        <w:rPr>
          <w:rFonts w:ascii="Century Gothic" w:hAnsi="Century Gothic"/>
        </w:rPr>
      </w:pPr>
      <w:r>
        <w:rPr>
          <w:rFonts w:ascii="Century Gothic" w:hAnsi="Century Gothic"/>
        </w:rPr>
        <w:t>$1000 times the number of months working, up to a maximum of 10, or $10 000.</w:t>
      </w:r>
    </w:p>
    <w:p w:rsidR="00E3614E" w:rsidRDefault="00E3614E" w:rsidP="00F935A6">
      <w:pPr>
        <w:pStyle w:val="ListParagraph"/>
        <w:numPr>
          <w:ilvl w:val="0"/>
          <w:numId w:val="2"/>
        </w:numPr>
        <w:spacing w:line="360" w:lineRule="auto"/>
        <w:rPr>
          <w:rFonts w:ascii="Century Gothic" w:hAnsi="Century Gothic"/>
        </w:rPr>
      </w:pPr>
      <w:r>
        <w:rPr>
          <w:rFonts w:ascii="Century Gothic" w:hAnsi="Century Gothic"/>
        </w:rPr>
        <w:lastRenderedPageBreak/>
        <w:t>One-third of remuneration, (Box 14 on the T</w:t>
      </w:r>
      <w:r w:rsidR="00B24D27">
        <w:rPr>
          <w:rFonts w:ascii="Century Gothic" w:hAnsi="Century Gothic"/>
        </w:rPr>
        <w:t>4</w:t>
      </w:r>
      <w:r>
        <w:rPr>
          <w:rFonts w:ascii="Century Gothic" w:hAnsi="Century Gothic"/>
        </w:rPr>
        <w:t xml:space="preserve"> slip).</w:t>
      </w:r>
    </w:p>
    <w:p w:rsidR="00E3614E" w:rsidRDefault="00E3614E" w:rsidP="00F935A6">
      <w:pPr>
        <w:pStyle w:val="ListParagraph"/>
        <w:spacing w:line="360" w:lineRule="auto"/>
        <w:ind w:left="2160"/>
        <w:rPr>
          <w:rFonts w:ascii="Century Gothic" w:hAnsi="Century Gothic"/>
        </w:rPr>
      </w:pPr>
      <w:r>
        <w:rPr>
          <w:rFonts w:ascii="Century Gothic" w:hAnsi="Century Gothic"/>
        </w:rPr>
        <w:t>B:</w:t>
      </w:r>
      <w:r w:rsidR="00B24D27">
        <w:rPr>
          <w:rFonts w:ascii="Century Gothic" w:hAnsi="Century Gothic"/>
        </w:rPr>
        <w:t xml:space="preserve">  </w:t>
      </w:r>
      <w:r>
        <w:rPr>
          <w:rFonts w:ascii="Century Gothic" w:hAnsi="Century Gothic"/>
        </w:rPr>
        <w:t xml:space="preserve">The rent &amp; utilities you paid, or the fair rental value of the </w:t>
      </w:r>
      <w:r w:rsidR="00B24D27">
        <w:rPr>
          <w:rFonts w:ascii="Century Gothic" w:hAnsi="Century Gothic"/>
        </w:rPr>
        <w:t xml:space="preserve">    </w:t>
      </w:r>
      <w:r>
        <w:rPr>
          <w:rFonts w:ascii="Century Gothic" w:hAnsi="Century Gothic"/>
        </w:rPr>
        <w:t>residence if owned.</w:t>
      </w:r>
    </w:p>
    <w:p w:rsidR="00E3614E" w:rsidRDefault="00E3614E" w:rsidP="00F935A6">
      <w:pPr>
        <w:pStyle w:val="ListParagraph"/>
        <w:spacing w:line="360" w:lineRule="auto"/>
        <w:rPr>
          <w:rFonts w:ascii="Century Gothic" w:hAnsi="Century Gothic"/>
        </w:rPr>
      </w:pPr>
    </w:p>
    <w:p w:rsidR="00E3614E" w:rsidRDefault="00E3614E" w:rsidP="00F935A6">
      <w:pPr>
        <w:pStyle w:val="ListParagraph"/>
        <w:spacing w:line="360" w:lineRule="auto"/>
        <w:rPr>
          <w:rFonts w:ascii="Century Gothic" w:hAnsi="Century Gothic"/>
        </w:rPr>
      </w:pPr>
      <w:r w:rsidRPr="00B24D27">
        <w:rPr>
          <w:rFonts w:ascii="Century Gothic" w:hAnsi="Century Gothic"/>
          <w:b/>
        </w:rPr>
        <w:t>NOTE</w:t>
      </w:r>
      <w:r>
        <w:rPr>
          <w:rFonts w:ascii="Century Gothic" w:hAnsi="Century Gothic"/>
        </w:rPr>
        <w:t>:  Utilities means amounts expended for services of electricity, heating, (</w:t>
      </w:r>
      <w:r w:rsidR="001E3246">
        <w:rPr>
          <w:rFonts w:ascii="Century Gothic" w:hAnsi="Century Gothic"/>
        </w:rPr>
        <w:t>e.g.</w:t>
      </w:r>
      <w:r>
        <w:rPr>
          <w:rFonts w:ascii="Century Gothic" w:hAnsi="Century Gothic"/>
        </w:rPr>
        <w:t xml:space="preserve"> </w:t>
      </w:r>
      <w:r w:rsidR="00B24D27">
        <w:rPr>
          <w:rFonts w:ascii="Century Gothic" w:hAnsi="Century Gothic"/>
        </w:rPr>
        <w:t>g</w:t>
      </w:r>
      <w:r>
        <w:rPr>
          <w:rFonts w:ascii="Century Gothic" w:hAnsi="Century Gothic"/>
        </w:rPr>
        <w:t>as), and water &amp; sewer.</w:t>
      </w:r>
    </w:p>
    <w:p w:rsidR="00E3614E" w:rsidRDefault="00E3614E" w:rsidP="00F935A6">
      <w:pPr>
        <w:pStyle w:val="ListParagraph"/>
        <w:spacing w:line="360" w:lineRule="auto"/>
        <w:rPr>
          <w:rFonts w:ascii="Century Gothic" w:hAnsi="Century Gothic"/>
        </w:rPr>
      </w:pPr>
    </w:p>
    <w:p w:rsidR="00E3614E" w:rsidRDefault="00E3614E" w:rsidP="00F935A6">
      <w:pPr>
        <w:pStyle w:val="ListParagraph"/>
        <w:spacing w:line="360" w:lineRule="auto"/>
        <w:rPr>
          <w:rFonts w:ascii="Century Gothic" w:hAnsi="Century Gothic"/>
        </w:rPr>
      </w:pPr>
      <w:r w:rsidRPr="00B24D27">
        <w:rPr>
          <w:rFonts w:ascii="Century Gothic" w:hAnsi="Century Gothic"/>
          <w:b/>
        </w:rPr>
        <w:t>Form T1223</w:t>
      </w:r>
      <w:r>
        <w:rPr>
          <w:rFonts w:ascii="Century Gothic" w:hAnsi="Century Gothic"/>
        </w:rPr>
        <w:t xml:space="preserve"> – Clergy Residence Deduction should not be filed with the Tax Return.  It </w:t>
      </w:r>
      <w:r w:rsidR="00B24D27">
        <w:rPr>
          <w:rFonts w:ascii="Century Gothic" w:hAnsi="Century Gothic"/>
        </w:rPr>
        <w:t>must</w:t>
      </w:r>
      <w:r>
        <w:rPr>
          <w:rFonts w:ascii="Century Gothic" w:hAnsi="Century Gothic"/>
        </w:rPr>
        <w:t xml:space="preserve"> be presented to CRA only if they ask to see it.  Section B and the Certification on </w:t>
      </w:r>
      <w:r w:rsidR="00B24D27">
        <w:rPr>
          <w:rFonts w:ascii="Century Gothic" w:hAnsi="Century Gothic"/>
        </w:rPr>
        <w:t>page</w:t>
      </w:r>
      <w:r>
        <w:rPr>
          <w:rFonts w:ascii="Century Gothic" w:hAnsi="Century Gothic"/>
        </w:rPr>
        <w:t xml:space="preserve"> two is to be completed by the employer.</w:t>
      </w:r>
      <w:r w:rsidR="00B24D27">
        <w:rPr>
          <w:rFonts w:ascii="Century Gothic" w:hAnsi="Century Gothic"/>
        </w:rPr>
        <w:t xml:space="preserve">  All other areas are to be completed by the employee.</w:t>
      </w:r>
    </w:p>
    <w:p w:rsidR="00B24D27" w:rsidRDefault="00B24D27" w:rsidP="00F935A6">
      <w:pPr>
        <w:pStyle w:val="ListParagraph"/>
        <w:spacing w:line="360" w:lineRule="auto"/>
        <w:rPr>
          <w:rFonts w:ascii="Century Gothic" w:hAnsi="Century Gothic"/>
        </w:rPr>
      </w:pPr>
    </w:p>
    <w:p w:rsidR="00273901" w:rsidRDefault="00273901" w:rsidP="00F935A6">
      <w:pPr>
        <w:pStyle w:val="ListParagraph"/>
        <w:spacing w:line="360" w:lineRule="auto"/>
        <w:rPr>
          <w:rFonts w:ascii="Century Gothic" w:hAnsi="Century Gothic"/>
        </w:rPr>
      </w:pPr>
      <w:bookmarkStart w:id="0" w:name="_GoBack"/>
      <w:bookmarkEnd w:id="0"/>
    </w:p>
    <w:p w:rsidR="00B24D27" w:rsidRDefault="00B24D27" w:rsidP="00F935A6">
      <w:pPr>
        <w:spacing w:line="360" w:lineRule="auto"/>
        <w:rPr>
          <w:rFonts w:ascii="Century Gothic" w:hAnsi="Century Gothic"/>
          <w:b/>
        </w:rPr>
      </w:pPr>
      <w:r w:rsidRPr="00B24D27">
        <w:rPr>
          <w:rFonts w:ascii="Century Gothic" w:hAnsi="Century Gothic"/>
          <w:b/>
        </w:rPr>
        <w:t>References</w:t>
      </w:r>
      <w:r w:rsidRPr="00B24D27">
        <w:rPr>
          <w:rFonts w:ascii="Century Gothic" w:hAnsi="Century Gothic"/>
          <w:b/>
        </w:rPr>
        <w:tab/>
      </w:r>
    </w:p>
    <w:p w:rsidR="00B24D27" w:rsidRDefault="00B24D27" w:rsidP="00C625A9">
      <w:pPr>
        <w:spacing w:line="276" w:lineRule="auto"/>
        <w:ind w:left="720"/>
        <w:rPr>
          <w:rFonts w:ascii="Century Gothic" w:hAnsi="Century Gothic"/>
        </w:rPr>
      </w:pPr>
      <w:r>
        <w:rPr>
          <w:rFonts w:ascii="Century Gothic" w:hAnsi="Century Gothic"/>
          <w:b/>
        </w:rPr>
        <w:t xml:space="preserve">- </w:t>
      </w:r>
      <w:r w:rsidRPr="00B24D27">
        <w:rPr>
          <w:rFonts w:ascii="Century Gothic" w:hAnsi="Century Gothic"/>
        </w:rPr>
        <w:t>Interpretation</w:t>
      </w:r>
      <w:r>
        <w:rPr>
          <w:rFonts w:ascii="Century Gothic" w:hAnsi="Century Gothic"/>
        </w:rPr>
        <w:t xml:space="preserve"> Bulletin:  IT-141R Clergy Residence Deduction</w:t>
      </w:r>
    </w:p>
    <w:p w:rsidR="00B24D27" w:rsidRDefault="00B24D27" w:rsidP="00C625A9">
      <w:pPr>
        <w:spacing w:line="276" w:lineRule="auto"/>
        <w:ind w:left="720"/>
        <w:rPr>
          <w:rFonts w:ascii="Century Gothic" w:hAnsi="Century Gothic"/>
        </w:rPr>
      </w:pPr>
      <w:r>
        <w:rPr>
          <w:rFonts w:ascii="Century Gothic" w:hAnsi="Century Gothic"/>
        </w:rPr>
        <w:t>- Employer’s Guide:  Payroll Deductions and Remittances – T4001</w:t>
      </w:r>
    </w:p>
    <w:p w:rsidR="00B24D27" w:rsidRDefault="00B24D27" w:rsidP="00C625A9">
      <w:pPr>
        <w:spacing w:line="276" w:lineRule="auto"/>
        <w:ind w:left="720"/>
        <w:rPr>
          <w:rFonts w:ascii="Century Gothic" w:hAnsi="Century Gothic"/>
        </w:rPr>
      </w:pPr>
      <w:r>
        <w:rPr>
          <w:rFonts w:ascii="Century Gothic" w:hAnsi="Century Gothic"/>
        </w:rPr>
        <w:t>- Employers’</w:t>
      </w:r>
      <w:r w:rsidR="00273901">
        <w:rPr>
          <w:rFonts w:ascii="Century Gothic" w:hAnsi="Century Gothic"/>
        </w:rPr>
        <w:t xml:space="preserve"> Guide:  Taxable Benefits and Allowances – T4130</w:t>
      </w:r>
    </w:p>
    <w:p w:rsidR="00273901" w:rsidRDefault="00273901" w:rsidP="00C625A9">
      <w:pPr>
        <w:spacing w:line="276" w:lineRule="auto"/>
        <w:ind w:left="720"/>
        <w:rPr>
          <w:rFonts w:ascii="Century Gothic" w:hAnsi="Century Gothic"/>
        </w:rPr>
      </w:pPr>
      <w:r>
        <w:rPr>
          <w:rFonts w:ascii="Century Gothic" w:hAnsi="Century Gothic"/>
        </w:rPr>
        <w:t>- General Income Tax and Benefit Guide – 5000-G</w:t>
      </w:r>
    </w:p>
    <w:p w:rsidR="002577BC" w:rsidRDefault="00273901" w:rsidP="00C625A9">
      <w:pPr>
        <w:spacing w:line="276" w:lineRule="auto"/>
        <w:ind w:left="720"/>
        <w:rPr>
          <w:rFonts w:ascii="Century Gothic" w:hAnsi="Century Gothic"/>
        </w:rPr>
      </w:pPr>
      <w:r>
        <w:rPr>
          <w:rFonts w:ascii="Century Gothic" w:hAnsi="Century Gothic"/>
        </w:rPr>
        <w:t>- Charities Handbook (Canadian Council of Christian Charities)</w:t>
      </w:r>
    </w:p>
    <w:p w:rsidR="00E95C10" w:rsidRDefault="00E95C10">
      <w:pPr>
        <w:rPr>
          <w:rFonts w:ascii="Century Gothic" w:hAnsi="Century Gothic"/>
        </w:rPr>
      </w:pPr>
      <w:r>
        <w:rPr>
          <w:rFonts w:ascii="Century Gothic" w:hAnsi="Century Gothic"/>
        </w:rPr>
        <w:br w:type="page"/>
      </w:r>
    </w:p>
    <w:p w:rsidR="00E95C10" w:rsidRDefault="00E95C10" w:rsidP="00E95C10">
      <w:pPr>
        <w:spacing w:line="360" w:lineRule="auto"/>
        <w:rPr>
          <w:rFonts w:ascii="Century Gothic" w:hAnsi="Century Gothic"/>
          <w:b/>
          <w:sz w:val="32"/>
          <w:szCs w:val="32"/>
        </w:rPr>
      </w:pPr>
      <w:r w:rsidRPr="00F935A6">
        <w:rPr>
          <w:rFonts w:ascii="Century Gothic" w:hAnsi="Century Gothic"/>
          <w:b/>
          <w:sz w:val="32"/>
          <w:szCs w:val="32"/>
        </w:rPr>
        <w:lastRenderedPageBreak/>
        <w:t>C</w:t>
      </w:r>
      <w:r>
        <w:rPr>
          <w:rFonts w:ascii="Century Gothic" w:hAnsi="Century Gothic"/>
          <w:b/>
          <w:sz w:val="32"/>
          <w:szCs w:val="32"/>
        </w:rPr>
        <w:t>RA FORM T1223 &amp; JOB DESCRIPTIONS</w:t>
      </w:r>
    </w:p>
    <w:p w:rsidR="00E95C10" w:rsidRDefault="00E95C10" w:rsidP="00E95C10">
      <w:pPr>
        <w:spacing w:line="360" w:lineRule="auto"/>
        <w:rPr>
          <w:rFonts w:ascii="Century Gothic" w:hAnsi="Century Gothic"/>
        </w:rPr>
      </w:pPr>
      <w:r w:rsidRPr="004A3CA7">
        <w:rPr>
          <w:rFonts w:ascii="Century Gothic" w:hAnsi="Century Gothic"/>
          <w:b/>
        </w:rPr>
        <w:t>NOTE</w:t>
      </w:r>
      <w:r>
        <w:rPr>
          <w:rFonts w:ascii="Century Gothic" w:hAnsi="Century Gothic"/>
        </w:rPr>
        <w:t>:   The following information was acquired from the Canadian Council of Christian Charities (CCC).</w:t>
      </w:r>
    </w:p>
    <w:p w:rsidR="00E95C10" w:rsidRDefault="00E95C10" w:rsidP="00E95C10">
      <w:pPr>
        <w:spacing w:line="360" w:lineRule="auto"/>
        <w:rPr>
          <w:rFonts w:ascii="Century Gothic" w:hAnsi="Century Gothic"/>
        </w:rPr>
      </w:pPr>
      <w:r>
        <w:rPr>
          <w:rFonts w:ascii="Century Gothic" w:hAnsi="Century Gothic"/>
        </w:rPr>
        <w:t>Please review the following to help format your job description, that is now required by CRA when form T1223 is filed.</w:t>
      </w:r>
    </w:p>
    <w:p w:rsidR="00E95C10" w:rsidRDefault="00E95C10" w:rsidP="00E95C10">
      <w:pPr>
        <w:spacing w:line="360" w:lineRule="auto"/>
        <w:rPr>
          <w:rFonts w:ascii="Century Gothic" w:hAnsi="Century Gothic"/>
        </w:rPr>
      </w:pPr>
      <w:r>
        <w:rPr>
          <w:rFonts w:ascii="Century Gothic" w:hAnsi="Century Gothic"/>
        </w:rPr>
        <w:t>The following links explain what CRA means by ministering, congregation, administrative service.  These links should be be reviewed to make sure your job description will be adequate.</w:t>
      </w:r>
    </w:p>
    <w:p w:rsidR="00BC1325" w:rsidRPr="00BC1325" w:rsidRDefault="003F6759" w:rsidP="005042E6">
      <w:pPr>
        <w:pStyle w:val="ListParagraph"/>
        <w:numPr>
          <w:ilvl w:val="0"/>
          <w:numId w:val="4"/>
        </w:numPr>
        <w:spacing w:line="360" w:lineRule="auto"/>
        <w:rPr>
          <w:rFonts w:ascii="Century Gothic" w:hAnsi="Century Gothic"/>
          <w:b/>
        </w:rPr>
      </w:pPr>
      <w:r w:rsidRPr="00BC1325">
        <w:rPr>
          <w:rFonts w:ascii="Century Gothic" w:hAnsi="Century Gothic"/>
        </w:rPr>
        <w:t>“ministering</w:t>
      </w:r>
      <w:r w:rsidRPr="005042E6">
        <w:rPr>
          <w:rFonts w:ascii="Century Gothic" w:hAnsi="Century Gothic"/>
        </w:rPr>
        <w:t>”</w:t>
      </w:r>
      <w:r w:rsidRPr="005042E6">
        <w:rPr>
          <w:rFonts w:ascii="Century Gothic" w:hAnsi="Century Gothic"/>
          <w:color w:val="0563C1"/>
        </w:rPr>
        <w:t xml:space="preserve"> </w:t>
      </w:r>
      <w:hyperlink r:id="rId8" w:history="1">
        <w:r w:rsidR="005042E6" w:rsidRPr="00D525B9">
          <w:rPr>
            <w:rStyle w:val="Hyperlink"/>
            <w:rFonts w:ascii="Century Gothic" w:hAnsi="Century Gothic"/>
            <w:b/>
          </w:rPr>
          <w:t>http://www.cra-arc.gc.ca/E/pub/tp/it141r-consolid/it141r-consolid-e.pdf</w:t>
        </w:r>
      </w:hyperlink>
      <w:r w:rsidR="005042E6">
        <w:rPr>
          <w:rFonts w:ascii="Century Gothic" w:hAnsi="Century Gothic"/>
          <w:b/>
          <w:color w:val="0563C1"/>
        </w:rPr>
        <w:t xml:space="preserve"> </w:t>
      </w:r>
      <w:r w:rsidR="00BC1325" w:rsidRPr="005042E6">
        <w:rPr>
          <w:rFonts w:ascii="Century Gothic" w:hAnsi="Century Gothic"/>
          <w:b/>
          <w:color w:val="0563C1"/>
        </w:rPr>
        <w:t xml:space="preserve"> </w:t>
      </w:r>
      <w:r w:rsidRPr="005042E6">
        <w:rPr>
          <w:rFonts w:ascii="Century Gothic" w:hAnsi="Century Gothic"/>
          <w:color w:val="0563C1"/>
        </w:rPr>
        <w:t xml:space="preserve"> </w:t>
      </w:r>
    </w:p>
    <w:p w:rsidR="003F6759" w:rsidRPr="00BC1325" w:rsidRDefault="003F6759" w:rsidP="005042E6">
      <w:pPr>
        <w:pStyle w:val="ListParagraph"/>
        <w:numPr>
          <w:ilvl w:val="0"/>
          <w:numId w:val="4"/>
        </w:numPr>
        <w:spacing w:line="360" w:lineRule="auto"/>
        <w:rPr>
          <w:rFonts w:ascii="Century Gothic" w:hAnsi="Century Gothic"/>
          <w:b/>
        </w:rPr>
      </w:pPr>
      <w:r w:rsidRPr="00BC1325">
        <w:rPr>
          <w:rFonts w:ascii="Century Gothic" w:hAnsi="Century Gothic"/>
        </w:rPr>
        <w:t>“congregation”</w:t>
      </w:r>
      <w:r w:rsidR="00BC1325" w:rsidRPr="00BC1325">
        <w:rPr>
          <w:rFonts w:ascii="Century Gothic" w:hAnsi="Century Gothic"/>
        </w:rPr>
        <w:t xml:space="preserve">  </w:t>
      </w:r>
      <w:hyperlink r:id="rId9" w:history="1">
        <w:r w:rsidR="005042E6" w:rsidRPr="00D525B9">
          <w:rPr>
            <w:rStyle w:val="Hyperlink"/>
            <w:rFonts w:ascii="Century Gothic" w:hAnsi="Century Gothic"/>
            <w:b/>
          </w:rPr>
          <w:t>http://www.cra-arc.gc.ca/E/pub/tp/it141r-consolid/it141r-consolid-e.pdf</w:t>
        </w:r>
      </w:hyperlink>
      <w:r w:rsidR="005042E6">
        <w:rPr>
          <w:rFonts w:ascii="Century Gothic" w:hAnsi="Century Gothic"/>
          <w:b/>
        </w:rPr>
        <w:t xml:space="preserve"> </w:t>
      </w:r>
    </w:p>
    <w:p w:rsidR="005042E6" w:rsidRPr="005042E6" w:rsidRDefault="003F6759" w:rsidP="005042E6">
      <w:pPr>
        <w:pStyle w:val="ListParagraph"/>
        <w:numPr>
          <w:ilvl w:val="0"/>
          <w:numId w:val="4"/>
        </w:numPr>
        <w:spacing w:line="360" w:lineRule="auto"/>
        <w:rPr>
          <w:rFonts w:ascii="Century Gothic" w:hAnsi="Century Gothic"/>
        </w:rPr>
      </w:pPr>
      <w:r w:rsidRPr="005042E6">
        <w:rPr>
          <w:rFonts w:ascii="Century Gothic" w:hAnsi="Century Gothic"/>
        </w:rPr>
        <w:t>“full-time administrative service”</w:t>
      </w:r>
      <w:r w:rsidR="00BC1325" w:rsidRPr="005042E6">
        <w:rPr>
          <w:rFonts w:ascii="Century Gothic" w:hAnsi="Century Gothic"/>
        </w:rPr>
        <w:t xml:space="preserve">  </w:t>
      </w:r>
      <w:hyperlink r:id="rId10" w:history="1">
        <w:r w:rsidR="005042E6" w:rsidRPr="00D525B9">
          <w:rPr>
            <w:rStyle w:val="Hyperlink"/>
            <w:rFonts w:ascii="Century Gothic" w:hAnsi="Century Gothic"/>
            <w:b/>
          </w:rPr>
          <w:t>http://www.cra-arc.gc.ca/E/pub/tp/it141r-consolid/it141r-consolid-e.pdf</w:t>
        </w:r>
      </w:hyperlink>
    </w:p>
    <w:p w:rsidR="00E95C10" w:rsidRPr="005042E6" w:rsidRDefault="00E95C10" w:rsidP="005042E6">
      <w:pPr>
        <w:spacing w:line="360" w:lineRule="auto"/>
        <w:rPr>
          <w:rFonts w:ascii="Century Gothic" w:hAnsi="Century Gothic"/>
        </w:rPr>
      </w:pPr>
      <w:r w:rsidRPr="005042E6">
        <w:rPr>
          <w:rFonts w:ascii="Century Gothic" w:hAnsi="Century Gothic"/>
        </w:rPr>
        <w:t xml:space="preserve">The following link refers to the </w:t>
      </w:r>
      <w:r w:rsidR="00661025" w:rsidRPr="005042E6">
        <w:rPr>
          <w:rFonts w:ascii="Century Gothic" w:hAnsi="Century Gothic"/>
        </w:rPr>
        <w:t>st</w:t>
      </w:r>
      <w:r w:rsidRPr="005042E6">
        <w:rPr>
          <w:rFonts w:ascii="Century Gothic" w:hAnsi="Century Gothic"/>
        </w:rPr>
        <w:t xml:space="preserve">atus part of the qualification CRA is requiring.  It essentially means you </w:t>
      </w:r>
      <w:r w:rsidR="00661025" w:rsidRPr="005042E6">
        <w:rPr>
          <w:rFonts w:ascii="Century Gothic" w:hAnsi="Century Gothic"/>
        </w:rPr>
        <w:t>must</w:t>
      </w:r>
      <w:r w:rsidRPr="005042E6">
        <w:rPr>
          <w:rFonts w:ascii="Century Gothic" w:hAnsi="Century Gothic"/>
        </w:rPr>
        <w:t xml:space="preserve"> have credentials with PAOC.</w:t>
      </w:r>
    </w:p>
    <w:p w:rsidR="00E95C10" w:rsidRPr="003F6759" w:rsidRDefault="003F6759" w:rsidP="005042E6">
      <w:pPr>
        <w:pStyle w:val="ListParagraph"/>
        <w:numPr>
          <w:ilvl w:val="0"/>
          <w:numId w:val="5"/>
        </w:numPr>
        <w:spacing w:line="360" w:lineRule="auto"/>
        <w:rPr>
          <w:rFonts w:ascii="Century Gothic" w:hAnsi="Century Gothic"/>
          <w:b/>
        </w:rPr>
      </w:pPr>
      <w:r>
        <w:rPr>
          <w:rFonts w:ascii="Century Gothic" w:hAnsi="Century Gothic"/>
        </w:rPr>
        <w:t xml:space="preserve">“by appointment of a religious order or religious denomination” </w:t>
      </w:r>
      <w:hyperlink r:id="rId11" w:history="1">
        <w:r w:rsidR="005042E6" w:rsidRPr="00D525B9">
          <w:rPr>
            <w:rStyle w:val="Hyperlink"/>
            <w:rFonts w:ascii="Century Gothic" w:hAnsi="Century Gothic"/>
            <w:b/>
          </w:rPr>
          <w:t>http://www.cra-arc.gc.ca/E/pub/tp/it141r-consolid/it141r-consolid-e.pdf</w:t>
        </w:r>
      </w:hyperlink>
      <w:r w:rsidR="005042E6">
        <w:rPr>
          <w:rFonts w:ascii="Century Gothic" w:hAnsi="Century Gothic"/>
          <w:b/>
          <w:color w:val="0563C1"/>
        </w:rPr>
        <w:t xml:space="preserve"> </w:t>
      </w:r>
      <w:r w:rsidRPr="005042E6">
        <w:rPr>
          <w:rFonts w:ascii="Century Gothic" w:hAnsi="Century Gothic"/>
          <w:b/>
          <w:color w:val="0563C1"/>
        </w:rPr>
        <w:t xml:space="preserve"> </w:t>
      </w:r>
    </w:p>
    <w:p w:rsidR="00E95C10" w:rsidRDefault="00E95C10" w:rsidP="00E95C10">
      <w:pPr>
        <w:spacing w:line="360" w:lineRule="auto"/>
        <w:rPr>
          <w:rFonts w:ascii="Century Gothic" w:hAnsi="Century Gothic"/>
        </w:rPr>
      </w:pPr>
      <w:r>
        <w:rPr>
          <w:rFonts w:ascii="Century Gothic" w:hAnsi="Century Gothic"/>
        </w:rPr>
        <w:t>The layout of the job description should set out the job functions that speak to the law’s requirements in a clear fashion and in priority order, with the percentages now required by CRA.  Details that are needed for human resources purposed should be added as an appendix to help avoid clutter and potential confusion.  A sample follows here:</w:t>
      </w:r>
    </w:p>
    <w:p w:rsidR="00E95C10" w:rsidRDefault="00E95C10" w:rsidP="00E95C10">
      <w:pPr>
        <w:spacing w:line="360" w:lineRule="auto"/>
        <w:rPr>
          <w:rFonts w:ascii="Century Gothic" w:hAnsi="Century Gothic"/>
        </w:rPr>
      </w:pPr>
      <w:r w:rsidRPr="00FD5C90">
        <w:rPr>
          <w:rFonts w:ascii="Century Gothic" w:hAnsi="Century Gothic"/>
          <w:b/>
        </w:rPr>
        <w:t xml:space="preserve">Job </w:t>
      </w:r>
      <w:r w:rsidR="00FD5C90">
        <w:rPr>
          <w:rFonts w:ascii="Century Gothic" w:hAnsi="Century Gothic"/>
          <w:b/>
        </w:rPr>
        <w:t>T</w:t>
      </w:r>
      <w:r w:rsidRPr="00FD5C90">
        <w:rPr>
          <w:rFonts w:ascii="Century Gothic" w:hAnsi="Century Gothic"/>
          <w:b/>
        </w:rPr>
        <w:t>itle</w:t>
      </w:r>
      <w:r>
        <w:rPr>
          <w:rFonts w:ascii="Century Gothic" w:hAnsi="Century Gothic"/>
        </w:rPr>
        <w:t>:</w:t>
      </w:r>
      <w:r>
        <w:rPr>
          <w:rFonts w:ascii="Century Gothic" w:hAnsi="Century Gothic"/>
        </w:rPr>
        <w:tab/>
      </w:r>
      <w:r w:rsidR="00FD5C90">
        <w:rPr>
          <w:rFonts w:ascii="Century Gothic" w:hAnsi="Century Gothic"/>
        </w:rPr>
        <w:tab/>
      </w:r>
      <w:r>
        <w:rPr>
          <w:rFonts w:ascii="Century Gothic" w:hAnsi="Century Gothic"/>
        </w:rPr>
        <w:t>Youth Pastor</w:t>
      </w:r>
    </w:p>
    <w:p w:rsidR="00E95C10" w:rsidRDefault="00E95C10" w:rsidP="00E95C10">
      <w:pPr>
        <w:spacing w:line="360" w:lineRule="auto"/>
        <w:rPr>
          <w:rFonts w:ascii="Century Gothic" w:hAnsi="Century Gothic"/>
        </w:rPr>
      </w:pPr>
      <w:r w:rsidRPr="00FD5C90">
        <w:rPr>
          <w:rFonts w:ascii="Century Gothic" w:hAnsi="Century Gothic"/>
          <w:b/>
        </w:rPr>
        <w:t>Reports to</w:t>
      </w:r>
      <w:r>
        <w:rPr>
          <w:rFonts w:ascii="Century Gothic" w:hAnsi="Century Gothic"/>
        </w:rPr>
        <w:t>:</w:t>
      </w:r>
      <w:r>
        <w:rPr>
          <w:rFonts w:ascii="Century Gothic" w:hAnsi="Century Gothic"/>
        </w:rPr>
        <w:tab/>
      </w:r>
      <w:r w:rsidR="00FD5C90">
        <w:rPr>
          <w:rFonts w:ascii="Century Gothic" w:hAnsi="Century Gothic"/>
        </w:rPr>
        <w:tab/>
      </w:r>
      <w:r>
        <w:rPr>
          <w:rFonts w:ascii="Century Gothic" w:hAnsi="Century Gothic"/>
        </w:rPr>
        <w:t>The Senior Pastor</w:t>
      </w:r>
    </w:p>
    <w:p w:rsidR="00E95C10" w:rsidRDefault="00E95C10" w:rsidP="00E95C10">
      <w:pPr>
        <w:spacing w:line="360" w:lineRule="auto"/>
        <w:rPr>
          <w:rFonts w:ascii="Century Gothic" w:hAnsi="Century Gothic"/>
        </w:rPr>
      </w:pPr>
      <w:r w:rsidRPr="00FD5C90">
        <w:rPr>
          <w:rFonts w:ascii="Century Gothic" w:hAnsi="Century Gothic"/>
          <w:b/>
        </w:rPr>
        <w:t>Primary Duty</w:t>
      </w:r>
      <w:r>
        <w:rPr>
          <w:rFonts w:ascii="Century Gothic" w:hAnsi="Century Gothic"/>
        </w:rPr>
        <w:t>:</w:t>
      </w:r>
      <w:r>
        <w:rPr>
          <w:rFonts w:ascii="Century Gothic" w:hAnsi="Century Gothic"/>
        </w:rPr>
        <w:tab/>
      </w:r>
      <w:r w:rsidR="00FD5C90">
        <w:rPr>
          <w:rFonts w:ascii="Century Gothic" w:hAnsi="Century Gothic"/>
        </w:rPr>
        <w:tab/>
      </w:r>
      <w:r>
        <w:rPr>
          <w:rFonts w:ascii="Century Gothic" w:hAnsi="Century Gothic"/>
        </w:rPr>
        <w:t>To minister to the congregation of ________ Church, with emphasis on providing pastoral services to the youth of the church in the Teen Club, the Young Adults church groups, and youth in the surrounding neighbourhood.</w:t>
      </w:r>
    </w:p>
    <w:p w:rsidR="00E95C10" w:rsidRDefault="00E95C10" w:rsidP="00E95C10">
      <w:pPr>
        <w:spacing w:line="360" w:lineRule="auto"/>
        <w:rPr>
          <w:rFonts w:ascii="Century Gothic" w:hAnsi="Century Gothic"/>
        </w:rPr>
      </w:pPr>
      <w:r w:rsidRPr="00FD5C90">
        <w:rPr>
          <w:rFonts w:ascii="Century Gothic" w:hAnsi="Century Gothic"/>
          <w:b/>
        </w:rPr>
        <w:lastRenderedPageBreak/>
        <w:t>Key Responsibilities</w:t>
      </w:r>
      <w:r>
        <w:rPr>
          <w:rFonts w:ascii="Century Gothic" w:hAnsi="Century Gothic"/>
        </w:rPr>
        <w:t>:</w:t>
      </w:r>
    </w:p>
    <w:p w:rsidR="00E95C10" w:rsidRDefault="00FD5C90" w:rsidP="00FD5C90">
      <w:pPr>
        <w:pStyle w:val="ListParagraph"/>
        <w:numPr>
          <w:ilvl w:val="0"/>
          <w:numId w:val="3"/>
        </w:numPr>
        <w:spacing w:line="360" w:lineRule="auto"/>
        <w:rPr>
          <w:rFonts w:ascii="Century Gothic" w:hAnsi="Century Gothic"/>
        </w:rPr>
      </w:pPr>
      <w:r>
        <w:rPr>
          <w:rFonts w:ascii="Century Gothic" w:hAnsi="Century Gothic"/>
        </w:rPr>
        <w:t>20% - Lead weekly Teen Club meeting (lead prayer, Bible study, group and individual spiritual counseling; oversee games, sports and other activities).</w:t>
      </w:r>
    </w:p>
    <w:p w:rsidR="00FD5C90" w:rsidRDefault="00FD5C90" w:rsidP="00FD5C90">
      <w:pPr>
        <w:pStyle w:val="ListParagraph"/>
        <w:numPr>
          <w:ilvl w:val="0"/>
          <w:numId w:val="3"/>
        </w:numPr>
        <w:spacing w:line="360" w:lineRule="auto"/>
        <w:rPr>
          <w:rFonts w:ascii="Century Gothic" w:hAnsi="Century Gothic"/>
        </w:rPr>
      </w:pPr>
      <w:r>
        <w:rPr>
          <w:rFonts w:ascii="Century Gothic" w:hAnsi="Century Gothic"/>
        </w:rPr>
        <w:t>20% - Engage in weekly Young Adults group meeting (prayer, Bible study, group and individual spiritual counseling and participation the group’s leadership).</w:t>
      </w:r>
    </w:p>
    <w:p w:rsidR="00FD5C90" w:rsidRDefault="00FD5C90" w:rsidP="00FD5C90">
      <w:pPr>
        <w:pStyle w:val="ListParagraph"/>
        <w:numPr>
          <w:ilvl w:val="0"/>
          <w:numId w:val="3"/>
        </w:numPr>
        <w:spacing w:line="360" w:lineRule="auto"/>
        <w:rPr>
          <w:rFonts w:ascii="Century Gothic" w:hAnsi="Century Gothic"/>
        </w:rPr>
      </w:pPr>
      <w:r>
        <w:rPr>
          <w:rFonts w:ascii="Century Gothic" w:hAnsi="Century Gothic"/>
        </w:rPr>
        <w:t>20% - Open time for spiritual outreach to youth in the community (specifics to be assigned by the Senior Pastor).</w:t>
      </w:r>
    </w:p>
    <w:p w:rsidR="00FD5C90" w:rsidRDefault="00FD5C90" w:rsidP="00FD5C90">
      <w:pPr>
        <w:pStyle w:val="ListParagraph"/>
        <w:numPr>
          <w:ilvl w:val="0"/>
          <w:numId w:val="3"/>
        </w:numPr>
        <w:spacing w:line="360" w:lineRule="auto"/>
        <w:rPr>
          <w:rFonts w:ascii="Century Gothic" w:hAnsi="Century Gothic"/>
        </w:rPr>
      </w:pPr>
      <w:r>
        <w:rPr>
          <w:rFonts w:ascii="Century Gothic" w:hAnsi="Century Gothic"/>
        </w:rPr>
        <w:t>15% - Leading special youth-focused worship services (either as part of Sunday services or special event services).</w:t>
      </w:r>
    </w:p>
    <w:p w:rsidR="00FD5C90" w:rsidRDefault="00FD5C90" w:rsidP="00FD5C90">
      <w:pPr>
        <w:pStyle w:val="ListParagraph"/>
        <w:numPr>
          <w:ilvl w:val="0"/>
          <w:numId w:val="3"/>
        </w:numPr>
        <w:spacing w:line="360" w:lineRule="auto"/>
        <w:rPr>
          <w:rFonts w:ascii="Century Gothic" w:hAnsi="Century Gothic"/>
        </w:rPr>
      </w:pPr>
      <w:r>
        <w:rPr>
          <w:rFonts w:ascii="Century Gothic" w:hAnsi="Century Gothic"/>
        </w:rPr>
        <w:t>10% - Dedicated time to personal spiritual development (e.g. theology course or other development approved by the Senior Pastor).</w:t>
      </w:r>
    </w:p>
    <w:p w:rsidR="00FD5C90" w:rsidRPr="00FD5C90" w:rsidRDefault="00FD5C90" w:rsidP="00FD5C90">
      <w:pPr>
        <w:pStyle w:val="ListParagraph"/>
        <w:numPr>
          <w:ilvl w:val="0"/>
          <w:numId w:val="3"/>
        </w:numPr>
        <w:spacing w:line="360" w:lineRule="auto"/>
        <w:rPr>
          <w:rFonts w:ascii="Century Gothic" w:hAnsi="Century Gothic"/>
        </w:rPr>
      </w:pPr>
      <w:r>
        <w:rPr>
          <w:rFonts w:ascii="Century Gothic" w:hAnsi="Century Gothic"/>
        </w:rPr>
        <w:t>15% - Administrative duties (e.g. attendance at leadership meetings _ see attached appendix for details).</w:t>
      </w:r>
    </w:p>
    <w:p w:rsidR="00FD5C90" w:rsidRDefault="00FD5C90" w:rsidP="00E95C10">
      <w:pPr>
        <w:spacing w:line="276" w:lineRule="auto"/>
        <w:rPr>
          <w:rFonts w:ascii="Century Gothic" w:hAnsi="Century Gothic"/>
        </w:rPr>
      </w:pPr>
    </w:p>
    <w:p w:rsidR="00BC1325" w:rsidRDefault="00FD5C90" w:rsidP="00E95C10">
      <w:pPr>
        <w:spacing w:line="276" w:lineRule="auto"/>
        <w:rPr>
          <w:rFonts w:ascii="Century Gothic" w:hAnsi="Century Gothic"/>
        </w:rPr>
      </w:pPr>
      <w:r>
        <w:rPr>
          <w:rFonts w:ascii="Century Gothic" w:hAnsi="Century Gothic"/>
        </w:rPr>
        <w:t>CRA has not disclosed the reasons for the percentage requirement.  However, it is reasonable to assume they are required to determine if the “function test” elements such as being “engaged exclusively in full-time administrative service” is factually correct of if “ministering” make up the majority of a job’s duties.</w:t>
      </w:r>
    </w:p>
    <w:sectPr w:rsidR="00BC1325">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69" w:rsidRDefault="00B41069" w:rsidP="000851BD">
      <w:pPr>
        <w:spacing w:after="0" w:line="240" w:lineRule="auto"/>
      </w:pPr>
      <w:r>
        <w:separator/>
      </w:r>
    </w:p>
  </w:endnote>
  <w:endnote w:type="continuationSeparator" w:id="0">
    <w:p w:rsidR="00B41069" w:rsidRDefault="00B41069" w:rsidP="0008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6" w:rsidRPr="001E3246" w:rsidRDefault="001E3246" w:rsidP="001E3246">
    <w:pPr>
      <w:pStyle w:val="Footer"/>
      <w:jc w:val="right"/>
      <w:rPr>
        <w:sz w:val="16"/>
        <w:szCs w:val="16"/>
      </w:rPr>
    </w:pPr>
    <w:r w:rsidRPr="001E3246">
      <w:rPr>
        <w:sz w:val="16"/>
        <w:szCs w:val="16"/>
      </w:rPr>
      <w:t>ABNWT District Church Administration Manual</w:t>
    </w:r>
  </w:p>
  <w:p w:rsidR="001E3246" w:rsidRPr="001E3246" w:rsidRDefault="001E3246" w:rsidP="001E3246">
    <w:pPr>
      <w:pStyle w:val="Footer"/>
      <w:jc w:val="right"/>
      <w:rPr>
        <w:sz w:val="16"/>
        <w:szCs w:val="16"/>
      </w:rPr>
    </w:pPr>
    <w:r w:rsidRPr="001E3246">
      <w:rPr>
        <w:sz w:val="16"/>
        <w:szCs w:val="16"/>
      </w:rPr>
      <w:t>January 2016</w:t>
    </w:r>
  </w:p>
  <w:p w:rsidR="000851BD" w:rsidRDefault="0008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69" w:rsidRDefault="00B41069" w:rsidP="000851BD">
      <w:pPr>
        <w:spacing w:after="0" w:line="240" w:lineRule="auto"/>
      </w:pPr>
      <w:r>
        <w:separator/>
      </w:r>
    </w:p>
  </w:footnote>
  <w:footnote w:type="continuationSeparator" w:id="0">
    <w:p w:rsidR="00B41069" w:rsidRDefault="00B41069" w:rsidP="00085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BD" w:rsidRDefault="00B41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6323" o:spid="_x0000_s2050" type="#_x0000_t136" style="position:absolute;margin-left:0;margin-top:0;width:461.9pt;height:197.95pt;rotation:315;z-index:-251655168;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BD" w:rsidRDefault="00B41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6324" o:spid="_x0000_s2051" type="#_x0000_t136" style="position:absolute;margin-left:0;margin-top:0;width:461.9pt;height:197.95pt;rotation:315;z-index:-251653120;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BD" w:rsidRDefault="00B41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6322" o:spid="_x0000_s2049" type="#_x0000_t136" style="position:absolute;margin-left:0;margin-top:0;width:461.9pt;height:197.95pt;rotation:315;z-index:-251657216;mso-position-horizontal:center;mso-position-horizontal-relative:margin;mso-position-vertical:center;mso-position-vertical-relative:margin" o:allowincell="f" fillcolor="#e2e2e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4B6"/>
    <w:multiLevelType w:val="hybridMultilevel"/>
    <w:tmpl w:val="B73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6312"/>
    <w:multiLevelType w:val="hybridMultilevel"/>
    <w:tmpl w:val="B054F638"/>
    <w:lvl w:ilvl="0" w:tplc="82E4F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579E"/>
    <w:multiLevelType w:val="hybridMultilevel"/>
    <w:tmpl w:val="FE7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D5340"/>
    <w:multiLevelType w:val="hybridMultilevel"/>
    <w:tmpl w:val="34D8A3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426C24"/>
    <w:multiLevelType w:val="hybridMultilevel"/>
    <w:tmpl w:val="A0DA5628"/>
    <w:lvl w:ilvl="0" w:tplc="8F0E98D4">
      <w:start w:val="2"/>
      <w:numFmt w:val="bullet"/>
      <w:lvlText w:val="-"/>
      <w:lvlJc w:val="left"/>
      <w:pPr>
        <w:ind w:left="3240" w:hanging="360"/>
      </w:pPr>
      <w:rPr>
        <w:rFonts w:ascii="Century Gothic" w:eastAsiaTheme="minorHAnsi" w:hAnsi="Century Gothic"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7A"/>
    <w:rsid w:val="00001694"/>
    <w:rsid w:val="00003F79"/>
    <w:rsid w:val="000851BD"/>
    <w:rsid w:val="001C5EE9"/>
    <w:rsid w:val="001E3246"/>
    <w:rsid w:val="002577BC"/>
    <w:rsid w:val="00273901"/>
    <w:rsid w:val="003F6759"/>
    <w:rsid w:val="004A3CA7"/>
    <w:rsid w:val="005042E6"/>
    <w:rsid w:val="005E3F42"/>
    <w:rsid w:val="005E7724"/>
    <w:rsid w:val="00623986"/>
    <w:rsid w:val="00661025"/>
    <w:rsid w:val="007E0669"/>
    <w:rsid w:val="009F527A"/>
    <w:rsid w:val="00B24D27"/>
    <w:rsid w:val="00B41069"/>
    <w:rsid w:val="00BC1325"/>
    <w:rsid w:val="00C625A9"/>
    <w:rsid w:val="00D25CD3"/>
    <w:rsid w:val="00E3614E"/>
    <w:rsid w:val="00E81D42"/>
    <w:rsid w:val="00E95C10"/>
    <w:rsid w:val="00F85EC9"/>
    <w:rsid w:val="00F935A6"/>
    <w:rsid w:val="00F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9C3BFB-0876-4B8D-8090-80C8784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2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3614E"/>
    <w:pPr>
      <w:ind w:left="720"/>
      <w:contextualSpacing/>
    </w:pPr>
  </w:style>
  <w:style w:type="paragraph" w:styleId="Header">
    <w:name w:val="header"/>
    <w:basedOn w:val="Normal"/>
    <w:link w:val="HeaderChar"/>
    <w:uiPriority w:val="99"/>
    <w:unhideWhenUsed/>
    <w:rsid w:val="0008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BD"/>
  </w:style>
  <w:style w:type="paragraph" w:styleId="Footer">
    <w:name w:val="footer"/>
    <w:basedOn w:val="Normal"/>
    <w:link w:val="FooterChar"/>
    <w:uiPriority w:val="99"/>
    <w:unhideWhenUsed/>
    <w:rsid w:val="0008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BD"/>
  </w:style>
  <w:style w:type="character" w:styleId="Hyperlink">
    <w:name w:val="Hyperlink"/>
    <w:basedOn w:val="DefaultParagraphFont"/>
    <w:uiPriority w:val="99"/>
    <w:unhideWhenUsed/>
    <w:rsid w:val="003F6759"/>
    <w:rPr>
      <w:color w:val="0563C1" w:themeColor="hyperlink"/>
      <w:u w:val="single"/>
    </w:rPr>
  </w:style>
  <w:style w:type="character" w:styleId="FollowedHyperlink">
    <w:name w:val="FollowedHyperlink"/>
    <w:basedOn w:val="DefaultParagraphFont"/>
    <w:uiPriority w:val="99"/>
    <w:semiHidden/>
    <w:unhideWhenUsed/>
    <w:rsid w:val="003F6759"/>
    <w:rPr>
      <w:color w:val="954F72" w:themeColor="followedHyperlink"/>
      <w:u w:val="single"/>
    </w:rPr>
  </w:style>
  <w:style w:type="character" w:customStyle="1" w:styleId="color-green1">
    <w:name w:val="color-green1"/>
    <w:basedOn w:val="DefaultParagraphFont"/>
    <w:rsid w:val="00BC1325"/>
    <w:rPr>
      <w:color w:val="006611"/>
    </w:rPr>
  </w:style>
  <w:style w:type="paragraph" w:styleId="BalloonText">
    <w:name w:val="Balloon Text"/>
    <w:basedOn w:val="Normal"/>
    <w:link w:val="BalloonTextChar"/>
    <w:uiPriority w:val="99"/>
    <w:semiHidden/>
    <w:unhideWhenUsed/>
    <w:rsid w:val="00003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E/pub/tp/it141r-consolid/it141r-consolid-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arc.gc.ca/E/pub/tp/it141r-consolid/it141r-consolid-e.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a-arc.gc.ca/E/pub/tp/it141r-consolid/it141r-consolid-e.pdf" TargetMode="External"/><Relationship Id="rId4" Type="http://schemas.openxmlformats.org/officeDocument/2006/relationships/settings" Target="settings.xml"/><Relationship Id="rId9" Type="http://schemas.openxmlformats.org/officeDocument/2006/relationships/hyperlink" Target="http://www.cra-arc.gc.ca/E/pub/tp/it141r-consolid/it141r-consolid-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203C-236B-4B10-BD66-E188A9B8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Reddekopp</dc:creator>
  <cp:keywords/>
  <dc:description/>
  <cp:lastModifiedBy>Loredana Reddekopp</cp:lastModifiedBy>
  <cp:revision>13</cp:revision>
  <cp:lastPrinted>2016-01-13T19:56:00Z</cp:lastPrinted>
  <dcterms:created xsi:type="dcterms:W3CDTF">2016-01-10T19:54:00Z</dcterms:created>
  <dcterms:modified xsi:type="dcterms:W3CDTF">2016-01-19T16:47:00Z</dcterms:modified>
</cp:coreProperties>
</file>